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6CB1" w:rsidRPr="00FD6CB1" w:rsidRDefault="00FD6CB1" w:rsidP="00D35FF8">
      <w:pPr>
        <w:rPr>
          <w:b/>
          <w:sz w:val="28"/>
          <w:szCs w:val="28"/>
        </w:rPr>
      </w:pPr>
      <w:r w:rsidRPr="00FD6CB1">
        <w:rPr>
          <w:b/>
          <w:sz w:val="28"/>
          <w:szCs w:val="28"/>
        </w:rPr>
        <w:t>Exercices d’écriture pour le web</w:t>
      </w:r>
    </w:p>
    <w:p w:rsidR="00FD6CB1" w:rsidRPr="00FD6CB1" w:rsidRDefault="00FD6CB1" w:rsidP="00D35FF8">
      <w:pPr>
        <w:rPr>
          <w:b/>
        </w:rPr>
      </w:pPr>
      <w:r w:rsidRPr="00FD6CB1">
        <w:rPr>
          <w:b/>
        </w:rPr>
        <w:t>(</w:t>
      </w:r>
      <w:r w:rsidR="00D22C51" w:rsidRPr="00FD6CB1">
        <w:rPr>
          <w:b/>
        </w:rPr>
        <w:t>Extraits</w:t>
      </w:r>
      <w:r w:rsidRPr="00FD6CB1">
        <w:rPr>
          <w:b/>
        </w:rPr>
        <w:t xml:space="preserve"> du livre « Bien écrire pour le web » de Sébastien Bailly, chez Eyrolles)</w:t>
      </w:r>
    </w:p>
    <w:p w:rsidR="00D35FF8" w:rsidRPr="00D22C51" w:rsidRDefault="00D22C51" w:rsidP="00D22C51">
      <w:pPr>
        <w:rPr>
          <w:b/>
        </w:rPr>
      </w:pPr>
      <w:r>
        <w:rPr>
          <w:b/>
        </w:rPr>
        <w:t>1)</w:t>
      </w:r>
      <w:r w:rsidRPr="00D22C51">
        <w:rPr>
          <w:b/>
        </w:rPr>
        <w:t xml:space="preserve"> Le</w:t>
      </w:r>
      <w:r w:rsidR="00D35FF8" w:rsidRPr="00D22C51">
        <w:rPr>
          <w:b/>
        </w:rPr>
        <w:t xml:space="preserve"> texte suivant répond, dès son premier paragraphe à la règle des cinq W</w:t>
      </w:r>
      <w:proofErr w:type="gramStart"/>
      <w:r w:rsidR="00D35FF8" w:rsidRPr="00D22C51">
        <w:rPr>
          <w:b/>
        </w:rPr>
        <w:t>.</w:t>
      </w:r>
      <w:proofErr w:type="gramEnd"/>
      <w:r w:rsidR="00FD6CB1" w:rsidRPr="00D22C51">
        <w:rPr>
          <w:b/>
        </w:rPr>
        <w:br/>
      </w:r>
      <w:r w:rsidR="00D35FF8" w:rsidRPr="00D22C51">
        <w:rPr>
          <w:b/>
        </w:rPr>
        <w:t xml:space="preserve">Déterminez de </w:t>
      </w:r>
      <w:r w:rsidR="00D35FF8" w:rsidRPr="00D22C51">
        <w:rPr>
          <w:b/>
          <w:color w:val="FF0000"/>
        </w:rPr>
        <w:t>qui</w:t>
      </w:r>
      <w:r w:rsidR="00D35FF8" w:rsidRPr="00D22C51">
        <w:rPr>
          <w:b/>
        </w:rPr>
        <w:t xml:space="preserve"> il s'agit, de </w:t>
      </w:r>
      <w:r w:rsidR="00D35FF8" w:rsidRPr="00D22C51">
        <w:rPr>
          <w:b/>
          <w:color w:val="FF0000"/>
        </w:rPr>
        <w:t>quoi</w:t>
      </w:r>
      <w:r w:rsidR="00D35FF8" w:rsidRPr="00D22C51">
        <w:rPr>
          <w:b/>
        </w:rPr>
        <w:t xml:space="preserve">, </w:t>
      </w:r>
      <w:r w:rsidR="00D35FF8" w:rsidRPr="00D22C51">
        <w:rPr>
          <w:b/>
          <w:color w:val="FF0000"/>
        </w:rPr>
        <w:t>quand</w:t>
      </w:r>
      <w:r w:rsidR="00D35FF8" w:rsidRPr="00D22C51">
        <w:rPr>
          <w:b/>
        </w:rPr>
        <w:t xml:space="preserve"> cela s'est passé, </w:t>
      </w:r>
      <w:r w:rsidR="00D35FF8" w:rsidRPr="00D22C51">
        <w:rPr>
          <w:b/>
          <w:color w:val="FF0000"/>
        </w:rPr>
        <w:t>où</w:t>
      </w:r>
      <w:r w:rsidR="00D35FF8" w:rsidRPr="00D22C51">
        <w:rPr>
          <w:b/>
        </w:rPr>
        <w:t xml:space="preserve"> et </w:t>
      </w:r>
      <w:r w:rsidR="00D35FF8" w:rsidRPr="00D22C51">
        <w:rPr>
          <w:b/>
          <w:color w:val="FF0000"/>
        </w:rPr>
        <w:t>pourquoi</w:t>
      </w:r>
      <w:r w:rsidR="00D35FF8" w:rsidRPr="00D22C51">
        <w:rPr>
          <w:b/>
        </w:rPr>
        <w:t>.</w:t>
      </w:r>
    </w:p>
    <w:p w:rsidR="00D35FF8" w:rsidRDefault="00D35FF8" w:rsidP="00D35FF8">
      <w:r>
        <w:t xml:space="preserve">Alternative à la petite monnaie, la carte à puce </w:t>
      </w:r>
      <w:r w:rsidR="00D22C51">
        <w:t>« </w:t>
      </w:r>
      <w:proofErr w:type="spellStart"/>
      <w:r>
        <w:t>Moneo</w:t>
      </w:r>
      <w:proofErr w:type="spellEnd"/>
      <w:r w:rsidR="00D22C51">
        <w:t> »</w:t>
      </w:r>
      <w:r>
        <w:t xml:space="preserve"> ne fait pas</w:t>
      </w:r>
      <w:r w:rsidR="00FD6CB1">
        <w:t xml:space="preserve"> </w:t>
      </w:r>
      <w:r>
        <w:t>l'unanimité. Alors qu'il arrive en région parisienne, ce système de</w:t>
      </w:r>
      <w:r w:rsidR="00FD6CB1">
        <w:t xml:space="preserve"> </w:t>
      </w:r>
      <w:r>
        <w:t>paiement</w:t>
      </w:r>
      <w:r w:rsidR="00D22C51">
        <w:t xml:space="preserve"> est l'objet de vives critiques</w:t>
      </w:r>
      <w:r>
        <w:t>: commerçants et associations de</w:t>
      </w:r>
      <w:r w:rsidR="00FD6CB1">
        <w:t xml:space="preserve"> </w:t>
      </w:r>
      <w:r>
        <w:t>consommateurs lui reprochent son prix élevé.</w:t>
      </w:r>
    </w:p>
    <w:p w:rsidR="00D35FF8" w:rsidRDefault="00D35FF8" w:rsidP="00D35FF8"/>
    <w:p w:rsidR="00D35FF8" w:rsidRPr="00FD6CB1" w:rsidRDefault="00FD6CB1" w:rsidP="00D35FF8">
      <w:pPr>
        <w:rPr>
          <w:b/>
        </w:rPr>
      </w:pPr>
      <w:r w:rsidRPr="00FD6CB1">
        <w:rPr>
          <w:b/>
        </w:rPr>
        <w:t>2)</w:t>
      </w:r>
      <w:r w:rsidR="00D35FF8" w:rsidRPr="00FD6CB1">
        <w:rPr>
          <w:b/>
        </w:rPr>
        <w:t xml:space="preserve"> Réécrivez le texte suivant en plaçant les éléments les plus importants au</w:t>
      </w:r>
      <w:r w:rsidRPr="00FD6CB1">
        <w:rPr>
          <w:b/>
        </w:rPr>
        <w:t xml:space="preserve"> </w:t>
      </w:r>
      <w:r w:rsidR="00D35FF8" w:rsidRPr="00FD6CB1">
        <w:rPr>
          <w:b/>
        </w:rPr>
        <w:t>début</w:t>
      </w:r>
    </w:p>
    <w:p w:rsidR="00FD6CB1" w:rsidRDefault="00D35FF8" w:rsidP="00FD6CB1">
      <w:r>
        <w:t xml:space="preserve">Ayant </w:t>
      </w:r>
      <w:r w:rsidR="00D22C51">
        <w:t>acquis une réputation nationale,</w:t>
      </w:r>
      <w:r>
        <w:t xml:space="preserve"> le Laboratoire de Rouen est</w:t>
      </w:r>
      <w:r w:rsidR="00FD6CB1">
        <w:t xml:space="preserve"> </w:t>
      </w:r>
      <w:r>
        <w:t>aujourd'hui dans la cour des grands laboratoires internationaux soumis</w:t>
      </w:r>
      <w:r w:rsidR="00FD6CB1">
        <w:t xml:space="preserve"> </w:t>
      </w:r>
      <w:r>
        <w:t>à une forte compétition en matière de recherche, de haute technicité et</w:t>
      </w:r>
      <w:r w:rsidR="00FD6CB1">
        <w:t xml:space="preserve"> </w:t>
      </w:r>
      <w:r>
        <w:t>de nécessaires capacités d'investissement. Cette structure n'a plus</w:t>
      </w:r>
      <w:r w:rsidR="00FD6CB1">
        <w:t xml:space="preserve"> </w:t>
      </w:r>
      <w:r>
        <w:t>vocation à être gérée par la Ville. Il faut aujourd'hui au Laboratoire une</w:t>
      </w:r>
      <w:r w:rsidR="00FD6CB1">
        <w:t xml:space="preserve"> </w:t>
      </w:r>
      <w:r>
        <w:t>perspective (projet de développement et stratégie) qui va bien au-delà de</w:t>
      </w:r>
      <w:r w:rsidR="00FD6CB1">
        <w:t xml:space="preserve"> ce que la Ville peut lui offrir. Face à ce constat, la décision a été prise de vendre le Laboratoir</w:t>
      </w:r>
      <w:r w:rsidR="00D22C51">
        <w:t>e. Après étude des propositions,</w:t>
      </w:r>
      <w:r w:rsidR="00FD6CB1">
        <w:t xml:space="preserve"> le choix s'est porté sur la société ETS. Le projet présenté en matière de maintien de l'éthique, d'indépendance et de projets de développement pour le site de Rouen a convaincu de la c</w:t>
      </w:r>
      <w:r w:rsidR="00D22C51">
        <w:t>rédibilité de l'offre. La vente,</w:t>
      </w:r>
      <w:r w:rsidR="00FD6CB1">
        <w:t xml:space="preserve"> effective à compter du 1</w:t>
      </w:r>
      <w:r w:rsidR="00FD6CB1" w:rsidRPr="00FD6CB1">
        <w:rPr>
          <w:vertAlign w:val="superscript"/>
        </w:rPr>
        <w:t>er</w:t>
      </w:r>
      <w:r w:rsidR="00FD6CB1">
        <w:t xml:space="preserve"> janvier prochain, permettra à la ville de financer d'autres grands projets à venir.</w:t>
      </w:r>
    </w:p>
    <w:p w:rsidR="00FD6CB1" w:rsidRDefault="00FD6CB1" w:rsidP="00FD6CB1">
      <w:r>
        <w:t>(</w:t>
      </w:r>
      <w:r w:rsidR="00D67C1C">
        <w:t xml:space="preserve">D’après un article de </w:t>
      </w:r>
      <w:proofErr w:type="gramStart"/>
      <w:r w:rsidR="00D67C1C">
        <w:t>www.</w:t>
      </w:r>
      <w:r>
        <w:t>rouen.fr</w:t>
      </w:r>
      <w:r w:rsidR="00D22C51">
        <w:t xml:space="preserve"> </w:t>
      </w:r>
      <w:r>
        <w:t>)</w:t>
      </w:r>
      <w:proofErr w:type="gramEnd"/>
    </w:p>
    <w:p w:rsidR="00D35FF8" w:rsidRDefault="00D35FF8" w:rsidP="00D35FF8"/>
    <w:p w:rsidR="00FD6CB1" w:rsidRPr="00FD6CB1" w:rsidRDefault="00FD6CB1" w:rsidP="00FD6CB1">
      <w:pPr>
        <w:rPr>
          <w:b/>
        </w:rPr>
      </w:pPr>
      <w:r w:rsidRPr="00FD6CB1">
        <w:rPr>
          <w:b/>
        </w:rPr>
        <w:t>3) Réécrivez le texte suivant en plaçant les éléments les plus importants au début</w:t>
      </w:r>
    </w:p>
    <w:p w:rsidR="00FD6CB1" w:rsidRPr="00FD6CB1" w:rsidRDefault="00FD6CB1" w:rsidP="00FD6CB1">
      <w:pPr>
        <w:rPr>
          <w:b/>
        </w:rPr>
      </w:pPr>
      <w:r w:rsidRPr="00FD6CB1">
        <w:rPr>
          <w:b/>
        </w:rPr>
        <w:t>Interview</w:t>
      </w:r>
    </w:p>
    <w:p w:rsidR="00FD6CB1" w:rsidRDefault="00FD6CB1" w:rsidP="00FD6CB1">
      <w:r>
        <w:t>Le multiméd</w:t>
      </w:r>
      <w:r w:rsidR="00D22C51">
        <w:t>ia deviendrait-il un nouvel art ?</w:t>
      </w:r>
      <w:r>
        <w:t xml:space="preserve"> De plus en plus apparaissent dans le multimédia des OVNIS qui ne relèvent plus seulement des catégories classiques telles que le ludo-éducatif ou les jeux d'aventures et de simulation, mais proposent une nouvelle invitation au rêve et touchent toute la famille.</w:t>
      </w:r>
    </w:p>
    <w:p w:rsidR="00FD6CB1" w:rsidRDefault="00D22C51" w:rsidP="00FD6CB1">
      <w:r>
        <w:t>« </w:t>
      </w:r>
      <w:r w:rsidR="00FD6CB1">
        <w:t>Oncle Ernest</w:t>
      </w:r>
      <w:r>
        <w:t> »</w:t>
      </w:r>
      <w:r w:rsidR="00FD6CB1">
        <w:t xml:space="preserve"> est à la fois un jeu d'aventures, un parcours géographique et historique, une plongée dans un univers fabuleux. Il passionne les enfants mais aussi leurs parents. Éric </w:t>
      </w:r>
      <w:proofErr w:type="spellStart"/>
      <w:r w:rsidR="00FD6CB1">
        <w:t>Viennot</w:t>
      </w:r>
      <w:proofErr w:type="spellEnd"/>
      <w:r w:rsidR="00FD6CB1">
        <w:t xml:space="preserve"> est un concepteur de cédéroms heureux. Il vient de sortir </w:t>
      </w:r>
      <w:r>
        <w:t>« </w:t>
      </w:r>
      <w:r w:rsidR="00FD6CB1">
        <w:t>L'île mystérieuse de l'oncle Ernest</w:t>
      </w:r>
      <w:r>
        <w:t> »</w:t>
      </w:r>
      <w:r w:rsidR="00FD6CB1">
        <w:t>, le troisième volume des aventures de cet aventurier fantasque qui entraîne les enfants dans d'étonnantes expéditions.</w:t>
      </w:r>
    </w:p>
    <w:p w:rsidR="00FD6CB1" w:rsidRDefault="00FD6CB1" w:rsidP="00FD6CB1">
      <w:r>
        <w:t>(D'après un article paru sur www.fnac.com)</w:t>
      </w:r>
    </w:p>
    <w:p w:rsidR="00FD6CB1" w:rsidRDefault="00FD6CB1" w:rsidP="00FD6CB1"/>
    <w:p w:rsidR="00D35FF8" w:rsidRDefault="00D35FF8" w:rsidP="00D35FF8">
      <w:bookmarkStart w:id="0" w:name="_GoBack"/>
      <w:bookmarkEnd w:id="0"/>
    </w:p>
    <w:p w:rsidR="00FD6CB1" w:rsidRPr="00FD6CB1" w:rsidRDefault="00FD6CB1" w:rsidP="00FD6CB1">
      <w:pPr>
        <w:rPr>
          <w:b/>
        </w:rPr>
      </w:pPr>
      <w:r w:rsidRPr="00FD6CB1">
        <w:rPr>
          <w:b/>
        </w:rPr>
        <w:lastRenderedPageBreak/>
        <w:t>4) Faites de chacune des phrases longues suivantes plusieurs phrases courtes.</w:t>
      </w:r>
    </w:p>
    <w:p w:rsidR="00FD6CB1" w:rsidRDefault="00FD6CB1" w:rsidP="00FD6CB1"/>
    <w:p w:rsidR="00FD6CB1" w:rsidRDefault="00FD6CB1" w:rsidP="00FD6CB1">
      <w:r>
        <w:t xml:space="preserve">A. Ce petit livre, qui articule à peu près tous les grands combats actuels pour l'accès aux soins, pour le droit au logement et aux transports, pour la libre circulation de l'information et des œuvres, est aujourd'hui épuisé, introuvable (sauf, peut-être, à la librairie de Raoul à </w:t>
      </w:r>
      <w:proofErr w:type="spellStart"/>
      <w:r>
        <w:t>lvry</w:t>
      </w:r>
      <w:proofErr w:type="spellEnd"/>
      <w:r>
        <w:t>-sur-Seine dans le Val-de-Marne, où nous l'avions trouvé il y a un an et demi) et libre de droits.</w:t>
      </w:r>
    </w:p>
    <w:p w:rsidR="00FD6CB1" w:rsidRDefault="00FD6CB1" w:rsidP="00FD6CB1">
      <w:r>
        <w:t>B. C'est e</w:t>
      </w:r>
      <w:r w:rsidR="00D22C51">
        <w:t>n tout cas la volonté d'Essilor,</w:t>
      </w:r>
      <w:r>
        <w:t xml:space="preserve"> un fabricant français de verres de lunettes qui vient de</w:t>
      </w:r>
      <w:r w:rsidR="00D22C51">
        <w:t xml:space="preserve"> prendre une participation de 10</w:t>
      </w:r>
      <w:r>
        <w:t xml:space="preserve"> millions de dollars dans Micro-Optical Corp. </w:t>
      </w:r>
      <w:proofErr w:type="spellStart"/>
      <w:r>
        <w:t>aﬁn</w:t>
      </w:r>
      <w:proofErr w:type="spellEnd"/>
      <w:r>
        <w:t xml:space="preserve"> de développer cett</w:t>
      </w:r>
      <w:r w:rsidR="00D22C51">
        <w:t>e technologie optique numérique</w:t>
      </w:r>
      <w:r>
        <w:t xml:space="preserve">: le mini-écran sera incrusté dans le verre et pourra être relié à un lecteur multimédia ou un téléphone par l'intermédiaire d'une liaison radio type </w:t>
      </w:r>
      <w:r w:rsidR="005D7568">
        <w:t>Bluetooth</w:t>
      </w:r>
      <w:r>
        <w:t xml:space="preserve"> </w:t>
      </w:r>
      <w:proofErr w:type="spellStart"/>
      <w:r>
        <w:t>aﬁn</w:t>
      </w:r>
      <w:proofErr w:type="spellEnd"/>
      <w:r>
        <w:t xml:space="preserve"> d'éviter tout câble.</w:t>
      </w:r>
    </w:p>
    <w:p w:rsidR="00FD6CB1" w:rsidRPr="00F85C60" w:rsidRDefault="00FD6CB1" w:rsidP="00FD6CB1">
      <w:r w:rsidRPr="00F85C60">
        <w:t xml:space="preserve">C. La chasse au ragondin passe un peu pour une chasse </w:t>
      </w:r>
      <w:r w:rsidR="00F85C60" w:rsidRPr="00F85C60">
        <w:t>accessoire</w:t>
      </w:r>
      <w:r w:rsidRPr="00F85C60">
        <w:t>, car nous la pratiquons un peu comme bouche-trou, c’est-à-dire qua</w:t>
      </w:r>
      <w:r w:rsidR="00F85C60" w:rsidRPr="00F85C60">
        <w:t>nd il n'y a rien d'autre (quand</w:t>
      </w:r>
      <w:r w:rsidRPr="00F85C60">
        <w:t xml:space="preserve"> </w:t>
      </w:r>
      <w:r w:rsidR="00F85C60" w:rsidRPr="00F85C60">
        <w:t>les chasseurs</w:t>
      </w:r>
      <w:r w:rsidRPr="00F85C60">
        <w:t xml:space="preserve"> se déplace pour faire une chasse au renard ou au blaireau et que l'on constate que les garennes sont vides, cela arrive souvent au moment où les petits renards quittent le terrier), il arrive assez souvent de meubler la sortie par une chasse au ragondin puisque cet animal devenu très répandu dans la région est facile à localiser quand la saison devient plus sèche.</w:t>
      </w:r>
    </w:p>
    <w:p w:rsidR="00FD6CB1" w:rsidRDefault="00FD6CB1" w:rsidP="00D35FF8"/>
    <w:p w:rsidR="00D35FF8" w:rsidRPr="00FD6CB1" w:rsidRDefault="00FD6CB1" w:rsidP="00FD6CB1">
      <w:pPr>
        <w:rPr>
          <w:b/>
        </w:rPr>
      </w:pPr>
      <w:r w:rsidRPr="00FD6CB1">
        <w:rPr>
          <w:b/>
        </w:rPr>
        <w:t xml:space="preserve">5) </w:t>
      </w:r>
      <w:r w:rsidR="00D35FF8" w:rsidRPr="00FD6CB1">
        <w:rPr>
          <w:b/>
        </w:rPr>
        <w:t>Pour se rendre compte de l'intérêt des paragraphes, rien de tel que d'essayer</w:t>
      </w:r>
      <w:r w:rsidRPr="00FD6CB1">
        <w:rPr>
          <w:b/>
        </w:rPr>
        <w:t xml:space="preserve"> </w:t>
      </w:r>
      <w:r w:rsidR="00D35FF8" w:rsidRPr="00FD6CB1">
        <w:rPr>
          <w:b/>
        </w:rPr>
        <w:t>de les retrouver dans un texte duquel ils ont été supprimés. À vous de</w:t>
      </w:r>
      <w:r w:rsidRPr="00FD6CB1">
        <w:rPr>
          <w:b/>
        </w:rPr>
        <w:t xml:space="preserve"> </w:t>
      </w:r>
      <w:r w:rsidR="00D35FF8" w:rsidRPr="00FD6CB1">
        <w:rPr>
          <w:b/>
        </w:rPr>
        <w:t>séparer le texte suivant en quatre paragraphes, donc.</w:t>
      </w:r>
    </w:p>
    <w:p w:rsidR="00D35FF8" w:rsidRDefault="00D35FF8" w:rsidP="00D35FF8">
      <w:r>
        <w:t>Qu'une technique subisse des destins différents selon les cultures, voilà</w:t>
      </w:r>
      <w:r w:rsidR="00FD6CB1">
        <w:t xml:space="preserve"> </w:t>
      </w:r>
      <w:r>
        <w:t>qui nous étonne à première vue. Ne vivons-nous pas à l'heure d'une</w:t>
      </w:r>
      <w:r w:rsidR="00FD6CB1">
        <w:t xml:space="preserve"> </w:t>
      </w:r>
      <w:r>
        <w:t>mondialisation généralisée des techniques</w:t>
      </w:r>
      <w:r w:rsidR="00D22C51">
        <w:t> ?</w:t>
      </w:r>
      <w:r>
        <w:t xml:space="preserve"> D'une certaine s</w:t>
      </w:r>
      <w:r w:rsidR="00FD6CB1">
        <w:t>tandar</w:t>
      </w:r>
      <w:r>
        <w:t>disation des modes de vie</w:t>
      </w:r>
      <w:r w:rsidR="00D22C51">
        <w:t>?</w:t>
      </w:r>
      <w:r>
        <w:t xml:space="preserve"> Il faut pourtant rappeler avec Philippe</w:t>
      </w:r>
      <w:r w:rsidR="00FD6CB1">
        <w:t xml:space="preserve"> </w:t>
      </w:r>
      <w:r>
        <w:t>Breton et Serge Proulx que « l'existence de procédé technique n'est en rien</w:t>
      </w:r>
      <w:r w:rsidR="00FD6CB1">
        <w:t xml:space="preserve"> une condition </w:t>
      </w:r>
      <w:r w:rsidR="005D7568">
        <w:t>suffisante</w:t>
      </w:r>
      <w:r w:rsidR="00FD6CB1">
        <w:t xml:space="preserve"> de son développement social […</w:t>
      </w:r>
      <w:r w:rsidR="005D7568">
        <w:t>]. I</w:t>
      </w:r>
      <w:r>
        <w:t>l lui faut des</w:t>
      </w:r>
      <w:r w:rsidR="00FD6CB1">
        <w:t xml:space="preserve"> </w:t>
      </w:r>
      <w:r>
        <w:t>conditions sociales, culturelles et économiques propres ». De fait, et</w:t>
      </w:r>
      <w:r w:rsidR="00FD6CB1">
        <w:t xml:space="preserve"> </w:t>
      </w:r>
      <w:r>
        <w:t>contrairement à ce qui s'est passé en Occident, l'imprimerie s'est</w:t>
      </w:r>
      <w:r w:rsidR="00FD6CB1">
        <w:t xml:space="preserve"> </w:t>
      </w:r>
      <w:r>
        <w:t>révélée être, en Chine un puissant facteur de continuité et</w:t>
      </w:r>
      <w:r w:rsidR="00FD6CB1">
        <w:t xml:space="preserve"> </w:t>
      </w:r>
      <w:r>
        <w:t>d’immobilisme politique. En effet</w:t>
      </w:r>
      <w:r w:rsidR="00D22C51">
        <w:t>, elle a non seulement renforcé</w:t>
      </w:r>
      <w:r>
        <w:t xml:space="preserve"> la</w:t>
      </w:r>
      <w:r w:rsidR="00FD6CB1">
        <w:t xml:space="preserve"> </w:t>
      </w:r>
      <w:r>
        <w:t>diffusion des grands t</w:t>
      </w:r>
      <w:r w:rsidR="00FD6CB1">
        <w:t>extes de la tradition classique,</w:t>
      </w:r>
      <w:r>
        <w:t xml:space="preserve"> mais elle a</w:t>
      </w:r>
      <w:r w:rsidR="00FD6CB1">
        <w:t xml:space="preserve"> </w:t>
      </w:r>
      <w:r>
        <w:t>également permis d'élargir le cercle de recrutement des mandarins.</w:t>
      </w:r>
      <w:r w:rsidR="00FD6CB1">
        <w:t xml:space="preserve"> </w:t>
      </w:r>
      <w:r>
        <w:t>Pourtant, les grandes étapes qui auraient pu conduire la Chine vers la</w:t>
      </w:r>
      <w:r w:rsidR="00FD6CB1">
        <w:t xml:space="preserve"> </w:t>
      </w:r>
      <w:r>
        <w:t>conception d'une imprimerie moderne avaient été franchies assez tôt.</w:t>
      </w:r>
      <w:r w:rsidR="00FD6CB1">
        <w:t xml:space="preserve"> </w:t>
      </w:r>
      <w:r w:rsidR="00D22C51">
        <w:t>Entre le 1</w:t>
      </w:r>
      <w:r w:rsidR="00FD6CB1">
        <w:t>er</w:t>
      </w:r>
      <w:r>
        <w:t xml:space="preserve"> et </w:t>
      </w:r>
      <w:r w:rsidR="005D7568">
        <w:t>le 3ème siècle</w:t>
      </w:r>
      <w:r>
        <w:t>,</w:t>
      </w:r>
      <w:r w:rsidR="00FD6CB1">
        <w:t xml:space="preserve"> le papier est inventé. Au </w:t>
      </w:r>
      <w:r w:rsidR="00D22C51">
        <w:t>8</w:t>
      </w:r>
      <w:r w:rsidR="00FD6CB1">
        <w:t>ème siècle,</w:t>
      </w:r>
      <w:r>
        <w:t xml:space="preserve"> </w:t>
      </w:r>
      <w:r w:rsidR="00FD6CB1">
        <w:t>L</w:t>
      </w:r>
      <w:r>
        <w:t>a</w:t>
      </w:r>
      <w:r w:rsidR="00FD6CB1">
        <w:t xml:space="preserve"> </w:t>
      </w:r>
      <w:r w:rsidR="00D22C51">
        <w:t>xylographie,</w:t>
      </w:r>
      <w:r>
        <w:t xml:space="preserve"> procédé à base de planches en bois gravées en relief, est</w:t>
      </w:r>
      <w:r w:rsidR="00FD6CB1">
        <w:t xml:space="preserve"> </w:t>
      </w:r>
      <w:r>
        <w:t xml:space="preserve">mise au point. Dès le </w:t>
      </w:r>
      <w:r w:rsidR="00F85C60" w:rsidRPr="00F85C60">
        <w:t>11ème</w:t>
      </w:r>
      <w:r w:rsidRPr="00F85C60">
        <w:t xml:space="preserve"> </w:t>
      </w:r>
      <w:r>
        <w:t>siècle, enfin, le principe de l'impression à</w:t>
      </w:r>
      <w:r w:rsidR="00FD6CB1">
        <w:t xml:space="preserve"> </w:t>
      </w:r>
      <w:r>
        <w:t>caractères mobiles, en glaise ou en bois</w:t>
      </w:r>
      <w:r w:rsidR="00FD6CB1">
        <w:t xml:space="preserve">, est découvert. Autant dire, </w:t>
      </w:r>
      <w:r>
        <w:t>toujo</w:t>
      </w:r>
      <w:r w:rsidR="00D22C51">
        <w:t>urs selon Breton et Proulx, que,</w:t>
      </w:r>
      <w:r>
        <w:t xml:space="preserve"> pour développer l'imprimerie dans</w:t>
      </w:r>
      <w:r w:rsidR="00FD6CB1">
        <w:t xml:space="preserve"> </w:t>
      </w:r>
      <w:r w:rsidR="00D22C51">
        <w:t>l</w:t>
      </w:r>
      <w:r>
        <w:t>‘Empire du Milieu</w:t>
      </w:r>
      <w:r w:rsidR="00D22C51">
        <w:t>,</w:t>
      </w:r>
      <w:r>
        <w:t xml:space="preserve"> il aurait fallu « un appel de la société chinoise auquel</w:t>
      </w:r>
      <w:r w:rsidR="00FD6CB1">
        <w:t xml:space="preserve"> </w:t>
      </w:r>
      <w:r>
        <w:t>son système de valeurs, élitiste et traditionaliste, ne la prédisposait pas ».</w:t>
      </w:r>
    </w:p>
    <w:p w:rsidR="00D35FF8" w:rsidRDefault="00D35FF8" w:rsidP="00D35FF8"/>
    <w:p w:rsidR="00D35FF8" w:rsidRDefault="00D35FF8" w:rsidP="00D35FF8">
      <w:r>
        <w:t>René TRECOUET. Rapport sur les NTIC, « La pyramide des Pouvoirs et les Réseaux de</w:t>
      </w:r>
      <w:r w:rsidR="00FD6CB1">
        <w:t xml:space="preserve"> Savoirs »</w:t>
      </w:r>
      <w:r>
        <w:t xml:space="preserve"> </w:t>
      </w:r>
      <w:r w:rsidR="00FD6CB1">
        <w:t>p</w:t>
      </w:r>
      <w:r>
        <w:t xml:space="preserve">ublié le 8 Avril </w:t>
      </w:r>
      <w:r w:rsidR="00FD6CB1">
        <w:t>1998</w:t>
      </w:r>
    </w:p>
    <w:p w:rsidR="00292B62" w:rsidRPr="00292B62" w:rsidRDefault="00292B62" w:rsidP="00292B62">
      <w:pPr>
        <w:rPr>
          <w:b/>
        </w:rPr>
      </w:pPr>
      <w:r w:rsidRPr="00292B62">
        <w:rPr>
          <w:b/>
        </w:rPr>
        <w:lastRenderedPageBreak/>
        <w:t>6) Proposez un plan qui permettrait de présenter le texte suivant en plusieurs pages accessibles depuis un sommaire présent sur toutes les pages du dossier.</w:t>
      </w:r>
    </w:p>
    <w:p w:rsidR="00292B62" w:rsidRDefault="00292B62" w:rsidP="00292B62">
      <w:r w:rsidRPr="00292B62">
        <w:rPr>
          <w:b/>
        </w:rPr>
        <w:t>Quels sont les différents types de référendum ?</w:t>
      </w:r>
      <w:r>
        <w:br/>
        <w:t>On entend beaucoup parler de référendum. Mais derrière ce mot se cachent plusieurs réalités. En fait, il ex</w:t>
      </w:r>
      <w:r w:rsidR="00D22C51">
        <w:t>iste trois types de référendum.</w:t>
      </w:r>
      <w:r>
        <w:t xml:space="preserve"> Le référendum législatif, prévu à l'article </w:t>
      </w:r>
      <w:r w:rsidR="00F85C60" w:rsidRPr="00F85C60">
        <w:t>11</w:t>
      </w:r>
      <w:r w:rsidRPr="00F85C60">
        <w:t xml:space="preserve"> </w:t>
      </w:r>
      <w:r>
        <w:t xml:space="preserve">de la Constitution, permet au Président de la République, sur proposition du gouvernement, de soumettre au peuple un projet de loi. Celui-ci peut porter sur différents sujets (les pouvoirs publics, la politique économique et sociale de la Nation et les services publics y concourant, ou autorisant la </w:t>
      </w:r>
      <w:proofErr w:type="spellStart"/>
      <w:r>
        <w:t>ratiﬁcation</w:t>
      </w:r>
      <w:proofErr w:type="spellEnd"/>
      <w:r>
        <w:t xml:space="preserve"> de traités internati</w:t>
      </w:r>
      <w:r w:rsidR="00D22C51">
        <w:t>onaux). Le mécanisme est simple</w:t>
      </w:r>
      <w:r>
        <w:t>: si la réponse au référendum est positive, la loi est adoptée. Le général de Gaulle a utilisé, dans des conditions controversées, cet article pour réviser la Constitution (en 1962, pour l'élection du Président au suffrage universel, réponse positive ; en 1969, pour réformer le Sénat et les régions, réponse négative).</w:t>
      </w:r>
    </w:p>
    <w:p w:rsidR="00292B62" w:rsidRDefault="00292B62" w:rsidP="00292B62">
      <w:r>
        <w:t>Le référendum constituant, prévu à l'article 89 de la Constitution, permet la révision de cette dernière. Le référendum ne peut intervenir qu'après le vote, dans les mêmes termes, par l'Assemblée nationale et le Sénat, du texte de révision proposé. Si la réponse est positive, la révision est adoptée.</w:t>
      </w:r>
    </w:p>
    <w:p w:rsidR="00292B62" w:rsidRDefault="00292B62" w:rsidP="00292B62">
      <w:r>
        <w:t>Il faut également évoquer ce que l'on appelle parfois le « référendum</w:t>
      </w:r>
      <w:r w:rsidR="00DA0B9B">
        <w:t xml:space="preserve"> local» (loi du 6 février 1992)</w:t>
      </w:r>
      <w:r>
        <w:t>: les autorités communales ont la possibilité d'organiser un vote sur un sujet d'intérêt communal. Mais le conseil municipal n'est pas engagé par le résultat du vote. Il ne s'agit donc pas d'un véritable référendum, mais plutôt d'une forme de consultation de la population.</w:t>
      </w:r>
    </w:p>
    <w:p w:rsidR="00292B62" w:rsidRDefault="00292B62" w:rsidP="00292B62">
      <w:r>
        <w:t>Le référendum d'initiative populaire existe en Italie, en Suisse mais pas en France, même s'il est souvent proposé comme une réforme souhaitable qui permettrait d'associer davantage le peuple à la politique de la Nation. Son initiative revient au peuple et il peut porter sur différents domaines (législatif ou constituant). Les procédures varient, mais on pe</w:t>
      </w:r>
      <w:r w:rsidR="00DA0B9B">
        <w:t>ut dégager des étapes générales</w:t>
      </w:r>
      <w:r>
        <w:t>: les initiateurs d'un projet doivent réunir un nombre préétabli de signatures soutena</w:t>
      </w:r>
      <w:r w:rsidR="00DA0B9B">
        <w:t>nt le texte envisagé (pétition)</w:t>
      </w:r>
      <w:r>
        <w:t xml:space="preserve">; si ce nombre est atteint, les pouvoirs publics sont </w:t>
      </w:r>
      <w:r w:rsidR="00DA0B9B">
        <w:t>tenus d'organiser un référendum</w:t>
      </w:r>
      <w:r>
        <w:t>; en cas de réponse favorable au texte, le Parlement doit nécessairement discuter d'une modification de la loi dans le sens indiqué par le référendum.</w:t>
      </w:r>
    </w:p>
    <w:p w:rsidR="00292B62" w:rsidRDefault="00292B62" w:rsidP="00D35FF8"/>
    <w:sectPr w:rsidR="00292B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A08C3"/>
    <w:multiLevelType w:val="hybridMultilevel"/>
    <w:tmpl w:val="7E588C42"/>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1">
    <w:nsid w:val="2C5C06ED"/>
    <w:multiLevelType w:val="hybridMultilevel"/>
    <w:tmpl w:val="F392E88A"/>
    <w:lvl w:ilvl="0" w:tplc="140C0011">
      <w:start w:val="1"/>
      <w:numFmt w:val="decimal"/>
      <w:lvlText w:val="%1)"/>
      <w:lvlJc w:val="left"/>
      <w:pPr>
        <w:ind w:left="720" w:hanging="360"/>
      </w:pPr>
      <w:rPr>
        <w:rFonts w:hint="default"/>
      </w:r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FF8"/>
    <w:rsid w:val="00132B76"/>
    <w:rsid w:val="00292B62"/>
    <w:rsid w:val="005D7568"/>
    <w:rsid w:val="00901B41"/>
    <w:rsid w:val="00D22C51"/>
    <w:rsid w:val="00D35FF8"/>
    <w:rsid w:val="00D67C1C"/>
    <w:rsid w:val="00DA0B9B"/>
    <w:rsid w:val="00F85C60"/>
    <w:rsid w:val="00FD6CB1"/>
  </w:rsids>
  <m:mathPr>
    <m:mathFont m:val="Cambria Math"/>
    <m:brkBin m:val="before"/>
    <m:brkBinSub m:val="--"/>
    <m:smallFrac m:val="0"/>
    <m:dispDef/>
    <m:lMargin m:val="0"/>
    <m:rMargin m:val="0"/>
    <m:defJc m:val="centerGroup"/>
    <m:wrapIndent m:val="1440"/>
    <m:intLim m:val="subSup"/>
    <m:naryLim m:val="undOvr"/>
  </m:mathPr>
  <w:themeFontLang w:val="fr-L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22C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L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22C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662AEDF70D3549B2E89078B35951F1" ma:contentTypeVersion="2" ma:contentTypeDescription="Crée un document." ma:contentTypeScope="" ma:versionID="ed6401cc2e0cafbdaf1f013ac88578be">
  <xsd:schema xmlns:xsd="http://www.w3.org/2001/XMLSchema" xmlns:xs="http://www.w3.org/2001/XMLSchema" xmlns:p="http://schemas.microsoft.com/office/2006/metadata/properties" xmlns:ns2="d6a6ee8a-09ae-402d-9066-dde5c29bcb94" targetNamespace="http://schemas.microsoft.com/office/2006/metadata/properties" ma:root="true" ma:fieldsID="1901463132b8a88a84a5dd2ac5cb4e28" ns2:_="">
    <xsd:import namespace="d6a6ee8a-09ae-402d-9066-dde5c29bcb9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6ee8a-09ae-402d-9066-dde5c29bc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17D916-1CE0-4007-BB2E-7DBD42EF664E}"/>
</file>

<file path=customXml/itemProps2.xml><?xml version="1.0" encoding="utf-8"?>
<ds:datastoreItem xmlns:ds="http://schemas.openxmlformats.org/officeDocument/2006/customXml" ds:itemID="{CDED6C77-22A6-4DB5-A32A-C497FD1D203B}"/>
</file>

<file path=customXml/itemProps3.xml><?xml version="1.0" encoding="utf-8"?>
<ds:datastoreItem xmlns:ds="http://schemas.openxmlformats.org/officeDocument/2006/customXml" ds:itemID="{9D2204DC-69F0-4FEA-A503-FA47ADDFA9F9}"/>
</file>

<file path=docProps/app.xml><?xml version="1.0" encoding="utf-8"?>
<Properties xmlns="http://schemas.openxmlformats.org/officeDocument/2006/extended-properties" xmlns:vt="http://schemas.openxmlformats.org/officeDocument/2006/docPropsVTypes">
  <Template>Normal.dotm</Template>
  <TotalTime>37</TotalTime>
  <Pages>3</Pages>
  <Words>1248</Words>
  <Characters>6866</Characters>
  <Application>Microsoft Office Word</Application>
  <DocSecurity>0</DocSecurity>
  <Lines>57</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BMG</dc:creator>
  <cp:lastModifiedBy>BMG</cp:lastModifiedBy>
  <cp:revision>3</cp:revision>
  <dcterms:created xsi:type="dcterms:W3CDTF">2014-10-15T08:14:00Z</dcterms:created>
  <dcterms:modified xsi:type="dcterms:W3CDTF">2016-01-06T12:03:00Z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0x01010037662AEDF70D3549B2E89078B35951F1</vt:lpwstr>
  </property>
</Properties>
</file>